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FA7" w:rsidRPr="0006549A" w:rsidRDefault="007E0153" w:rsidP="00885FA7">
      <w:pPr>
        <w:pStyle w:val="Header"/>
        <w:tabs>
          <w:tab w:val="left" w:pos="6521"/>
        </w:tabs>
        <w:ind w:right="200"/>
        <w:jc w:val="both"/>
        <w:rPr>
          <w:rFonts w:eastAsia="SimSun" w:cs="Arial"/>
          <w:noProof w:val="0"/>
          <w:color w:val="000000"/>
          <w:sz w:val="24"/>
          <w:szCs w:val="24"/>
          <w:lang w:eastAsia="zh-CN"/>
        </w:rPr>
      </w:pPr>
      <w:r>
        <w:rPr>
          <w:lang w:val="en-US"/>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D2087"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5FA7" w:rsidRPr="007A0189">
        <w:rPr>
          <w:rFonts w:cs="Arial"/>
          <w:noProof w:val="0"/>
          <w:color w:val="000000"/>
          <w:sz w:val="24"/>
          <w:lang w:eastAsia="ja-JP"/>
        </w:rPr>
        <w:t>3GPP</w:t>
      </w:r>
      <w:r w:rsidR="00885FA7" w:rsidRPr="007A0189">
        <w:rPr>
          <w:rFonts w:cs="Arial"/>
          <w:noProof w:val="0"/>
          <w:color w:val="000000"/>
          <w:sz w:val="24"/>
        </w:rPr>
        <w:t xml:space="preserve"> </w:t>
      </w:r>
      <w:r w:rsidR="00885FA7" w:rsidRPr="007A0189">
        <w:rPr>
          <w:rFonts w:cs="Arial"/>
          <w:noProof w:val="0"/>
          <w:color w:val="000000"/>
          <w:sz w:val="24"/>
          <w:lang w:eastAsia="ja-JP"/>
        </w:rPr>
        <w:t>TSG-</w:t>
      </w:r>
      <w:r w:rsidR="00885FA7" w:rsidRPr="007A0189">
        <w:rPr>
          <w:rFonts w:cs="Arial"/>
          <w:noProof w:val="0"/>
          <w:color w:val="000000"/>
          <w:sz w:val="24"/>
        </w:rPr>
        <w:t>RAN</w:t>
      </w:r>
      <w:r w:rsidR="00885FA7" w:rsidRPr="007A0189">
        <w:rPr>
          <w:rFonts w:cs="Arial"/>
          <w:noProof w:val="0"/>
          <w:color w:val="000000"/>
          <w:sz w:val="24"/>
          <w:lang w:eastAsia="ja-JP"/>
        </w:rPr>
        <w:t xml:space="preserve"> WG</w:t>
      </w:r>
      <w:r w:rsidR="00885FA7" w:rsidRPr="007A0189">
        <w:rPr>
          <w:rFonts w:cs="Arial"/>
          <w:noProof w:val="0"/>
          <w:color w:val="000000"/>
          <w:sz w:val="24"/>
        </w:rPr>
        <w:t>2</w:t>
      </w:r>
      <w:r w:rsidR="00885FA7" w:rsidRPr="007A0189">
        <w:rPr>
          <w:rFonts w:cs="Arial"/>
          <w:noProof w:val="0"/>
          <w:color w:val="000000"/>
          <w:sz w:val="24"/>
          <w:lang w:eastAsia="ja-JP"/>
        </w:rPr>
        <w:t xml:space="preserve"> </w:t>
      </w:r>
      <w:r w:rsidR="00885FA7" w:rsidRPr="007A0189">
        <w:rPr>
          <w:rFonts w:cs="Arial"/>
          <w:noProof w:val="0"/>
          <w:color w:val="000000"/>
          <w:sz w:val="24"/>
        </w:rPr>
        <w:t>Meeting</w:t>
      </w:r>
      <w:r w:rsidR="00885FA7">
        <w:rPr>
          <w:rFonts w:eastAsia="SimSun" w:cs="Arial" w:hint="eastAsia"/>
          <w:noProof w:val="0"/>
          <w:color w:val="000000"/>
          <w:sz w:val="24"/>
          <w:lang w:eastAsia="zh-CN"/>
        </w:rPr>
        <w:t xml:space="preserve"> Ad hoc</w:t>
      </w:r>
      <w:r w:rsidR="00885FA7" w:rsidRPr="007A0189">
        <w:rPr>
          <w:rFonts w:cs="Arial"/>
          <w:noProof w:val="0"/>
          <w:color w:val="000000"/>
          <w:sz w:val="24"/>
        </w:rPr>
        <w:t xml:space="preserve"> </w:t>
      </w:r>
      <w:r w:rsidR="00885FA7" w:rsidRPr="007A0189">
        <w:rPr>
          <w:rFonts w:cs="Arial"/>
          <w:noProof w:val="0"/>
          <w:color w:val="000000"/>
          <w:sz w:val="24"/>
          <w:lang w:eastAsia="ja-JP"/>
        </w:rPr>
        <w:tab/>
      </w:r>
      <w:r w:rsidR="00885FA7" w:rsidRPr="007A0189">
        <w:rPr>
          <w:rFonts w:cs="Arial"/>
          <w:noProof w:val="0"/>
          <w:color w:val="000000"/>
          <w:sz w:val="24"/>
          <w:szCs w:val="24"/>
        </w:rPr>
        <w:t xml:space="preserve">           </w:t>
      </w:r>
      <w:r w:rsidR="00314E88" w:rsidRPr="00314E88">
        <w:rPr>
          <w:rFonts w:cs="Arial"/>
          <w:noProof w:val="0"/>
          <w:color w:val="000000"/>
          <w:sz w:val="24"/>
          <w:szCs w:val="24"/>
        </w:rPr>
        <w:t>R2-1707486</w:t>
      </w:r>
    </w:p>
    <w:p w:rsidR="00885FA7" w:rsidRPr="000B179E" w:rsidRDefault="00885FA7" w:rsidP="00885FA7">
      <w:pPr>
        <w:pStyle w:val="Header"/>
        <w:tabs>
          <w:tab w:val="left" w:pos="6521"/>
        </w:tabs>
        <w:ind w:right="200"/>
        <w:jc w:val="both"/>
        <w:rPr>
          <w:rFonts w:eastAsia="SimSun" w:cs="Arial"/>
          <w:noProof w:val="0"/>
          <w:sz w:val="24"/>
          <w:lang w:eastAsia="zh-CN"/>
        </w:rPr>
      </w:pPr>
      <w:r>
        <w:rPr>
          <w:rFonts w:eastAsia="SimSun" w:cs="Arial" w:hint="eastAsia"/>
          <w:noProof w:val="0"/>
          <w:sz w:val="24"/>
          <w:lang w:eastAsia="zh-CN"/>
        </w:rPr>
        <w:t>Qingdao</w:t>
      </w:r>
      <w:r w:rsidRPr="000B179E">
        <w:rPr>
          <w:rFonts w:eastAsia="SimSun" w:cs="Arial"/>
          <w:noProof w:val="0"/>
          <w:sz w:val="24"/>
        </w:rPr>
        <w:t xml:space="preserve">, </w:t>
      </w:r>
      <w:r>
        <w:rPr>
          <w:rFonts w:eastAsia="SimSun" w:cs="Arial" w:hint="eastAsia"/>
          <w:noProof w:val="0"/>
          <w:sz w:val="24"/>
          <w:lang w:eastAsia="zh-CN"/>
        </w:rPr>
        <w:t>China</w:t>
      </w:r>
      <w:r w:rsidRPr="000B179E">
        <w:rPr>
          <w:rFonts w:eastAsia="SimSun" w:cs="Arial"/>
          <w:noProof w:val="0"/>
          <w:sz w:val="24"/>
        </w:rPr>
        <w:t xml:space="preserve">, </w:t>
      </w:r>
      <w:r>
        <w:rPr>
          <w:rFonts w:eastAsia="SimSun" w:cs="Arial" w:hint="eastAsia"/>
          <w:noProof w:val="0"/>
          <w:sz w:val="24"/>
          <w:lang w:eastAsia="zh-CN"/>
        </w:rPr>
        <w:t>27</w:t>
      </w:r>
      <w:r w:rsidRPr="000B179E">
        <w:rPr>
          <w:rFonts w:eastAsia="SimSun" w:cs="Arial"/>
          <w:noProof w:val="0"/>
          <w:sz w:val="24"/>
        </w:rPr>
        <w:t>-</w:t>
      </w:r>
      <w:r>
        <w:rPr>
          <w:rFonts w:eastAsia="SimSun" w:cs="Arial" w:hint="eastAsia"/>
          <w:noProof w:val="0"/>
          <w:sz w:val="24"/>
          <w:lang w:eastAsia="zh-CN"/>
        </w:rPr>
        <w:t>29</w:t>
      </w:r>
      <w:r w:rsidRPr="000B179E">
        <w:rPr>
          <w:rFonts w:eastAsia="SimSun" w:cs="Arial"/>
          <w:noProof w:val="0"/>
          <w:sz w:val="24"/>
        </w:rPr>
        <w:t xml:space="preserve"> </w:t>
      </w:r>
      <w:r>
        <w:rPr>
          <w:rFonts w:eastAsia="SimSun" w:cs="Arial" w:hint="eastAsia"/>
          <w:noProof w:val="0"/>
          <w:sz w:val="24"/>
          <w:lang w:eastAsia="zh-CN"/>
        </w:rPr>
        <w:t xml:space="preserve">Jun </w:t>
      </w:r>
      <w:r w:rsidRPr="000B179E">
        <w:rPr>
          <w:rFonts w:eastAsia="SimSun" w:cs="Arial"/>
          <w:noProof w:val="0"/>
          <w:sz w:val="24"/>
        </w:rPr>
        <w:t>201</w:t>
      </w:r>
      <w:r>
        <w:rPr>
          <w:rFonts w:eastAsia="SimSun" w:cs="Arial" w:hint="eastAsia"/>
          <w:noProof w:val="0"/>
          <w:sz w:val="24"/>
          <w:lang w:eastAsia="zh-CN"/>
        </w:rPr>
        <w:t>7</w:t>
      </w:r>
    </w:p>
    <w:p w:rsidR="00885FA7" w:rsidRPr="007A0189" w:rsidRDefault="00885FA7" w:rsidP="00885FA7">
      <w:pPr>
        <w:pStyle w:val="Footer"/>
        <w:jc w:val="both"/>
        <w:rPr>
          <w:rFonts w:eastAsia="SimSun" w:cs="Arial"/>
          <w:b w:val="0"/>
          <w:i w:val="0"/>
          <w:noProof w:val="0"/>
          <w:sz w:val="24"/>
          <w:lang w:eastAsia="zh-CN"/>
        </w:rPr>
      </w:pPr>
    </w:p>
    <w:p w:rsidR="00885FA7" w:rsidRPr="0006549A" w:rsidRDefault="00885FA7" w:rsidP="00885FA7">
      <w:pPr>
        <w:spacing w:after="120"/>
        <w:jc w:val="both"/>
        <w:rPr>
          <w:rFonts w:ascii="Arial" w:hAnsi="Arial" w:cs="Arial"/>
          <w:b/>
          <w:sz w:val="24"/>
          <w:lang w:eastAsia="zh-CN"/>
        </w:rPr>
      </w:pPr>
      <w:r w:rsidRPr="007A0189">
        <w:rPr>
          <w:rFonts w:ascii="Arial" w:hAnsi="Arial" w:cs="Arial"/>
          <w:b/>
          <w:sz w:val="24"/>
        </w:rPr>
        <w:t>Agenda Item:</w:t>
      </w:r>
      <w:bookmarkStart w:id="0" w:name="Source"/>
      <w:bookmarkEnd w:id="0"/>
      <w:r>
        <w:rPr>
          <w:rFonts w:ascii="Arial" w:hAnsi="Arial" w:cs="Arial"/>
          <w:b/>
          <w:sz w:val="24"/>
        </w:rPr>
        <w:tab/>
      </w:r>
      <w:r>
        <w:rPr>
          <w:rFonts w:ascii="Arial" w:hAnsi="Arial" w:cs="Arial" w:hint="eastAsia"/>
          <w:b/>
          <w:sz w:val="24"/>
          <w:lang w:eastAsia="zh-CN"/>
        </w:rPr>
        <w:t>10.2.</w:t>
      </w:r>
      <w:r w:rsidR="002D6E79">
        <w:rPr>
          <w:rFonts w:ascii="Arial" w:hAnsi="Arial" w:cs="Arial"/>
          <w:b/>
          <w:sz w:val="24"/>
          <w:lang w:eastAsia="zh-CN"/>
        </w:rPr>
        <w:t>4</w:t>
      </w:r>
    </w:p>
    <w:p w:rsidR="00885FA7" w:rsidRPr="007A0189" w:rsidRDefault="00885FA7" w:rsidP="00885FA7">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r>
      <w:r>
        <w:rPr>
          <w:rFonts w:ascii="Arial" w:hAnsi="Arial" w:cs="Arial"/>
          <w:b/>
          <w:sz w:val="24"/>
        </w:rPr>
        <w:tab/>
      </w:r>
      <w:r w:rsidR="002D6E79">
        <w:rPr>
          <w:rFonts w:ascii="Arial" w:hAnsi="Arial" w:cs="Arial"/>
          <w:b/>
          <w:sz w:val="24"/>
        </w:rPr>
        <w:t>Nokia</w:t>
      </w:r>
      <w:r w:rsidR="00772F03">
        <w:rPr>
          <w:rFonts w:ascii="Arial" w:hAnsi="Arial" w:cs="Arial"/>
          <w:b/>
          <w:sz w:val="24"/>
        </w:rPr>
        <w:t xml:space="preserve"> (rapporteur)</w:t>
      </w:r>
    </w:p>
    <w:p w:rsidR="00885FA7" w:rsidRPr="007A0189" w:rsidRDefault="00885FA7" w:rsidP="00885FA7">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Pr>
          <w:rFonts w:ascii="Arial" w:hAnsi="Arial" w:cs="Arial"/>
          <w:b/>
          <w:sz w:val="24"/>
        </w:rPr>
        <w:tab/>
      </w:r>
      <w:r w:rsidR="00521C07">
        <w:rPr>
          <w:rFonts w:ascii="Arial" w:hAnsi="Arial" w:cs="Arial"/>
          <w:b/>
          <w:sz w:val="24"/>
        </w:rPr>
        <w:tab/>
      </w:r>
      <w:r w:rsidR="002D6E79">
        <w:rPr>
          <w:rFonts w:ascii="Arial" w:hAnsi="Arial" w:cs="Arial"/>
          <w:b/>
          <w:sz w:val="24"/>
          <w:lang w:eastAsia="zh-CN"/>
        </w:rPr>
        <w:t>Offline discussion #10</w:t>
      </w:r>
    </w:p>
    <w:p w:rsidR="00885FA7" w:rsidRDefault="00885FA7" w:rsidP="00885FA7">
      <w:pPr>
        <w:pBdr>
          <w:bottom w:val="single" w:sz="6" w:space="1" w:color="auto"/>
        </w:pBdr>
        <w:tabs>
          <w:tab w:val="left" w:pos="1985"/>
        </w:tabs>
        <w:spacing w:after="120"/>
        <w:jc w:val="both"/>
        <w:rPr>
          <w:rFonts w:ascii="Arial" w:hAnsi="Arial" w:cs="Arial"/>
          <w:b/>
          <w:sz w:val="24"/>
        </w:rPr>
      </w:pPr>
      <w:r w:rsidRPr="007A0189">
        <w:rPr>
          <w:rFonts w:ascii="Arial" w:hAnsi="Arial" w:cs="Arial"/>
          <w:b/>
          <w:sz w:val="24"/>
        </w:rPr>
        <w:t>Document for:</w:t>
      </w:r>
      <w:r w:rsidRPr="007A0189">
        <w:rPr>
          <w:rFonts w:ascii="Arial" w:hAnsi="Arial" w:cs="Arial"/>
          <w:b/>
          <w:sz w:val="24"/>
        </w:rPr>
        <w:tab/>
      </w:r>
      <w:bookmarkStart w:id="1" w:name="DocumentFor"/>
      <w:bookmarkEnd w:id="1"/>
      <w:r>
        <w:rPr>
          <w:rFonts w:ascii="Arial" w:hAnsi="Arial" w:cs="Arial"/>
          <w:b/>
          <w:sz w:val="24"/>
        </w:rPr>
        <w:tab/>
        <w:t>Report of offline discussion</w:t>
      </w:r>
    </w:p>
    <w:p w:rsidR="002C4923" w:rsidRDefault="002C4923" w:rsidP="002C4923">
      <w:pPr>
        <w:pStyle w:val="Heading1"/>
      </w:pPr>
      <w:r>
        <w:t>Introduction</w:t>
      </w:r>
    </w:p>
    <w:p w:rsidR="00885FA7" w:rsidRDefault="002D6E79" w:rsidP="002D6E79">
      <w:r>
        <w:t>This discussion (offline #10</w:t>
      </w:r>
      <w:r w:rsidR="002C4923">
        <w:t xml:space="preserve">) from NR </w:t>
      </w:r>
      <w:r>
        <w:t>AdHoc</w:t>
      </w:r>
      <w:r w:rsidR="002C4923">
        <w:t xml:space="preserve"> </w:t>
      </w:r>
      <w:r>
        <w:t>is to try to conclude for EN-DC if the first RRC reconfiguration during the initial context setup procedure can already carry SCG configuration.</w:t>
      </w:r>
    </w:p>
    <w:p w:rsidR="002C4923" w:rsidRDefault="002C4923" w:rsidP="002C4923">
      <w:pPr>
        <w:pStyle w:val="Heading1"/>
      </w:pPr>
      <w:r>
        <w:t>Discussion</w:t>
      </w:r>
    </w:p>
    <w:p w:rsidR="002C4923" w:rsidRDefault="002D6E79" w:rsidP="002C4923">
      <w:r>
        <w:t>The background of the discussion is copied here from chairman’s notes in verbatim:</w:t>
      </w:r>
    </w:p>
    <w:tbl>
      <w:tblPr>
        <w:tblStyle w:val="TableGrid"/>
        <w:tblW w:w="0" w:type="auto"/>
        <w:tblLook w:val="04A0" w:firstRow="1" w:lastRow="0" w:firstColumn="1" w:lastColumn="0" w:noHBand="0" w:noVBand="1"/>
      </w:tblPr>
      <w:tblGrid>
        <w:gridCol w:w="9016"/>
      </w:tblGrid>
      <w:tr w:rsidR="002D6E79" w:rsidTr="002D6E79">
        <w:tc>
          <w:tcPr>
            <w:tcW w:w="9016" w:type="dxa"/>
          </w:tcPr>
          <w:p w:rsidR="002D6E79" w:rsidRDefault="00795EED" w:rsidP="002D6E79">
            <w:pPr>
              <w:pStyle w:val="Doc-title"/>
            </w:pPr>
            <w:hyperlink r:id="rId9" w:tooltip="C:Data3GPPExtractsR2-1706858 Allowing mapping of default bearer on SCG during Initial Context Setup.docx" w:history="1">
              <w:r w:rsidR="002D6E79" w:rsidRPr="0044494A">
                <w:rPr>
                  <w:rStyle w:val="Hyperlink"/>
                </w:rPr>
                <w:t>R2-1706858</w:t>
              </w:r>
            </w:hyperlink>
            <w:r w:rsidR="002D6E79">
              <w:tab/>
              <w:t>Allowing mapping of default bearer on SCG during Initial Context Setup</w:t>
            </w:r>
            <w:r w:rsidR="002D6E79">
              <w:tab/>
              <w:t>Nokia, Alcatel-Lucent Shanghai Bell</w:t>
            </w:r>
            <w:r w:rsidR="002D6E79">
              <w:tab/>
              <w:t>discussion</w:t>
            </w:r>
            <w:r w:rsidR="002D6E79">
              <w:tab/>
              <w:t>Rel-15</w:t>
            </w:r>
            <w:r w:rsidR="002D6E79">
              <w:tab/>
              <w:t>NR_newRAT</w:t>
            </w:r>
          </w:p>
          <w:p w:rsidR="002D6E79" w:rsidRDefault="002D6E79" w:rsidP="002D6E79">
            <w:pPr>
              <w:pStyle w:val="Doc-comment"/>
            </w:pPr>
            <w:r>
              <w:t>- moved from 10.2.5 to 10.2.4</w:t>
            </w:r>
          </w:p>
          <w:p w:rsidR="002D6E79" w:rsidRDefault="002D6E79" w:rsidP="002D6E79">
            <w:pPr>
              <w:pStyle w:val="Doc-text2"/>
            </w:pPr>
            <w:r>
              <w:t>-</w:t>
            </w:r>
            <w:r>
              <w:tab/>
              <w:t>Qualcomm agree with the proposal and thinks that LTE DC allows this.</w:t>
            </w:r>
          </w:p>
          <w:p w:rsidR="002D6E79" w:rsidRDefault="002D6E79" w:rsidP="002D6E79">
            <w:pPr>
              <w:pStyle w:val="Doc-text2"/>
            </w:pPr>
            <w:r>
              <w:t>-</w:t>
            </w:r>
            <w:r>
              <w:tab/>
              <w:t xml:space="preserve">Intel think this would be a blind addition of DC as there would be no measurement results in the MN. </w:t>
            </w:r>
          </w:p>
          <w:p w:rsidR="002D6E79" w:rsidRDefault="002D6E79" w:rsidP="002D6E79">
            <w:pPr>
              <w:pStyle w:val="Doc-text2"/>
            </w:pPr>
            <w:r>
              <w:t>-</w:t>
            </w:r>
            <w:r>
              <w:tab/>
              <w:t>Ericsson also agree with Qualcomm.</w:t>
            </w:r>
          </w:p>
          <w:p w:rsidR="002D6E79" w:rsidRDefault="002D6E79" w:rsidP="002D6E79">
            <w:pPr>
              <w:pStyle w:val="Doc-text2"/>
            </w:pPr>
            <w:r>
              <w:t>-</w:t>
            </w:r>
            <w:r>
              <w:tab/>
              <w:t>Huawei support the proposal.</w:t>
            </w:r>
          </w:p>
          <w:p w:rsidR="002D6E79" w:rsidRDefault="002D6E79" w:rsidP="002D6E79">
            <w:pPr>
              <w:pStyle w:val="Doc-text2"/>
            </w:pPr>
            <w:r>
              <w:t>-</w:t>
            </w:r>
            <w:r>
              <w:tab/>
              <w:t xml:space="preserve">LG think this was previously agreed not to do, and no sure of the use case. </w:t>
            </w:r>
          </w:p>
          <w:p w:rsidR="002D6E79" w:rsidRDefault="002D6E79" w:rsidP="002D6E79">
            <w:pPr>
              <w:pStyle w:val="Doc-text2"/>
            </w:pPr>
            <w:r>
              <w:t>-</w:t>
            </w:r>
            <w:r>
              <w:tab/>
              <w:t>Samsung think we should not add anythign special to support this.</w:t>
            </w:r>
          </w:p>
          <w:p w:rsidR="002D6E79" w:rsidRDefault="002D6E79" w:rsidP="002D6E79">
            <w:pPr>
              <w:pStyle w:val="Doc-text2"/>
            </w:pPr>
            <w:r>
              <w:t>-</w:t>
            </w:r>
            <w:r>
              <w:tab/>
              <w:t>Intel wonder if we want to add this for a very limited use case that the network can do a blind SCG setup. Huawei thing this could be possible in e.g. a co-located situation. Lenovo think it should be possible to do without measurements.</w:t>
            </w:r>
          </w:p>
          <w:p w:rsidR="002D6E79" w:rsidRDefault="002D6E79" w:rsidP="002D6E79">
            <w:pPr>
              <w:pStyle w:val="Doc-text2"/>
            </w:pPr>
            <w:r>
              <w:t>-</w:t>
            </w:r>
            <w:r>
              <w:tab/>
              <w:t>Ericsson also think this is possible without measurements.</w:t>
            </w:r>
          </w:p>
          <w:p w:rsidR="002D6E79" w:rsidRDefault="002D6E79" w:rsidP="002D6E79">
            <w:pPr>
              <w:pStyle w:val="Doc-text2"/>
            </w:pPr>
            <w:r>
              <w:t>-</w:t>
            </w:r>
            <w:r>
              <w:tab/>
              <w:t>Nokia think some quick measurements might be possible to be used by the MN. Assume the blind addition is the use case.</w:t>
            </w:r>
          </w:p>
          <w:p w:rsidR="002D6E79" w:rsidRDefault="002D6E79" w:rsidP="002D6E79">
            <w:pPr>
              <w:pStyle w:val="Doc-text2"/>
            </w:pPr>
            <w:r>
              <w:t>-</w:t>
            </w:r>
            <w:r>
              <w:tab/>
              <w:t>NEC don’t see a use case. Last time we agreed all bearers could be moved to SCG after MCG is setup.</w:t>
            </w:r>
          </w:p>
          <w:p w:rsidR="002D6E79" w:rsidRDefault="002D6E79" w:rsidP="002D6E79">
            <w:pPr>
              <w:pStyle w:val="Doc-text2"/>
            </w:pPr>
            <w:r>
              <w:t>-</w:t>
            </w:r>
            <w:r>
              <w:tab/>
              <w:t>Intel think it is not cleat that this case is suppored today.</w:t>
            </w:r>
          </w:p>
          <w:p w:rsidR="002D6E79" w:rsidRDefault="002D6E79" w:rsidP="002D6E79">
            <w:r>
              <w:t>=&gt;</w:t>
            </w:r>
            <w:r>
              <w:tab/>
              <w:t>Offline discussion to try to conclude (offline discussion 10)</w:t>
            </w:r>
            <w:r w:rsidR="00986824">
              <w:t>p</w:t>
            </w:r>
          </w:p>
        </w:tc>
      </w:tr>
    </w:tbl>
    <w:p w:rsidR="002D6E79" w:rsidRPr="002C4923" w:rsidRDefault="002D6E79" w:rsidP="002C4923"/>
    <w:p w:rsidR="00681090" w:rsidRDefault="00B420DD" w:rsidP="00B420DD">
      <w:r w:rsidRPr="00BB347D">
        <w:rPr>
          <w:b/>
          <w:highlight w:val="yellow"/>
        </w:rPr>
        <w:t>Question 1:</w:t>
      </w:r>
      <w:r w:rsidRPr="00BB347D">
        <w:rPr>
          <w:highlight w:val="yellow"/>
        </w:rPr>
        <w:t xml:space="preserve">  </w:t>
      </w:r>
      <w:r w:rsidR="002D6E79" w:rsidRPr="00BB347D">
        <w:rPr>
          <w:highlight w:val="yellow"/>
        </w:rPr>
        <w:t>For EN-DC, should the first RRC reconfiguration during the initial context setup procedure already support carrying a SCG configuration?</w:t>
      </w:r>
      <w:r w:rsidR="00BB347D" w:rsidRPr="00BB347D">
        <w:rPr>
          <w:highlight w:val="yellow"/>
        </w:rPr>
        <w:t xml:space="preserve"> Answer YES/NO</w:t>
      </w:r>
    </w:p>
    <w:tbl>
      <w:tblPr>
        <w:tblStyle w:val="TableGrid"/>
        <w:tblW w:w="0" w:type="auto"/>
        <w:tblLook w:val="04A0" w:firstRow="1" w:lastRow="0" w:firstColumn="1" w:lastColumn="0" w:noHBand="0" w:noVBand="1"/>
      </w:tblPr>
      <w:tblGrid>
        <w:gridCol w:w="1696"/>
        <w:gridCol w:w="7088"/>
      </w:tblGrid>
      <w:tr w:rsidR="002C4923" w:rsidTr="002C4923">
        <w:tc>
          <w:tcPr>
            <w:tcW w:w="1696" w:type="dxa"/>
          </w:tcPr>
          <w:p w:rsidR="002C4923" w:rsidRDefault="002C4923" w:rsidP="00B420DD">
            <w:r>
              <w:t>Company</w:t>
            </w:r>
          </w:p>
        </w:tc>
        <w:tc>
          <w:tcPr>
            <w:tcW w:w="7088" w:type="dxa"/>
          </w:tcPr>
          <w:p w:rsidR="002C4923" w:rsidRDefault="009C45A3" w:rsidP="00B420DD">
            <w:r>
              <w:t>Response with reasons</w:t>
            </w:r>
          </w:p>
        </w:tc>
      </w:tr>
      <w:tr w:rsidR="002C4923" w:rsidTr="002C4923">
        <w:tc>
          <w:tcPr>
            <w:tcW w:w="1696" w:type="dxa"/>
          </w:tcPr>
          <w:p w:rsidR="002C4923" w:rsidRDefault="00E71F1C" w:rsidP="00B420DD">
            <w:r>
              <w:t>OPPO</w:t>
            </w:r>
          </w:p>
        </w:tc>
        <w:tc>
          <w:tcPr>
            <w:tcW w:w="7088" w:type="dxa"/>
          </w:tcPr>
          <w:p w:rsidR="002C4923" w:rsidRDefault="004917EC" w:rsidP="00B420DD">
            <w:r>
              <w:t>YES</w:t>
            </w:r>
          </w:p>
        </w:tc>
      </w:tr>
      <w:tr w:rsidR="00EF1B60" w:rsidTr="002C4923">
        <w:tc>
          <w:tcPr>
            <w:tcW w:w="1696" w:type="dxa"/>
          </w:tcPr>
          <w:p w:rsidR="00EF1B60" w:rsidRDefault="00EF1B60" w:rsidP="00EF1B60">
            <w:r>
              <w:t>Intel</w:t>
            </w:r>
          </w:p>
        </w:tc>
        <w:tc>
          <w:tcPr>
            <w:tcW w:w="7088" w:type="dxa"/>
          </w:tcPr>
          <w:p w:rsidR="00EF1B60" w:rsidRDefault="00EF1B60" w:rsidP="00EF1B60">
            <w:r>
              <w:t>NO, it is only possible for blind addition and it is not a critical scenario for Rel-15</w:t>
            </w:r>
          </w:p>
        </w:tc>
      </w:tr>
      <w:tr w:rsidR="00640EF7" w:rsidTr="002435E6">
        <w:trPr>
          <w:trHeight w:val="390"/>
        </w:trPr>
        <w:tc>
          <w:tcPr>
            <w:tcW w:w="1696" w:type="dxa"/>
          </w:tcPr>
          <w:p w:rsidR="00640EF7" w:rsidRPr="00640EF7" w:rsidRDefault="00640EF7" w:rsidP="00EF1B60">
            <w:pPr>
              <w:rPr>
                <w:lang w:eastAsia="zh-CN"/>
              </w:rPr>
            </w:pPr>
            <w:r>
              <w:rPr>
                <w:rFonts w:hint="eastAsia"/>
                <w:lang w:eastAsia="zh-CN"/>
              </w:rPr>
              <w:t>Huawei</w:t>
            </w:r>
          </w:p>
        </w:tc>
        <w:tc>
          <w:tcPr>
            <w:tcW w:w="7088" w:type="dxa"/>
          </w:tcPr>
          <w:p w:rsidR="00640EF7" w:rsidRDefault="00640EF7" w:rsidP="00640EF7">
            <w:pPr>
              <w:rPr>
                <w:lang w:eastAsia="zh-CN"/>
              </w:rPr>
            </w:pPr>
            <w:r>
              <w:rPr>
                <w:rFonts w:hint="eastAsia"/>
                <w:lang w:eastAsia="zh-CN"/>
              </w:rPr>
              <w:t xml:space="preserve">Yes. There is no limitation in </w:t>
            </w:r>
            <w:r>
              <w:rPr>
                <w:lang w:eastAsia="zh-CN"/>
              </w:rPr>
              <w:t>specification</w:t>
            </w:r>
            <w:r>
              <w:rPr>
                <w:rFonts w:hint="eastAsia"/>
                <w:lang w:eastAsia="zh-CN"/>
              </w:rPr>
              <w:t xml:space="preserve"> on this from RAN2 perspective. </w:t>
            </w:r>
          </w:p>
        </w:tc>
      </w:tr>
      <w:tr w:rsidR="002C0588" w:rsidTr="002435E6">
        <w:trPr>
          <w:trHeight w:val="390"/>
        </w:trPr>
        <w:tc>
          <w:tcPr>
            <w:tcW w:w="1696" w:type="dxa"/>
          </w:tcPr>
          <w:p w:rsidR="002C0588" w:rsidRDefault="002C0588" w:rsidP="00EF1B60">
            <w:pPr>
              <w:rPr>
                <w:lang w:eastAsia="zh-CN"/>
              </w:rPr>
            </w:pPr>
            <w:r>
              <w:rPr>
                <w:rFonts w:hint="eastAsia"/>
                <w:lang w:eastAsia="zh-CN"/>
              </w:rPr>
              <w:t>CATT</w:t>
            </w:r>
          </w:p>
        </w:tc>
        <w:tc>
          <w:tcPr>
            <w:tcW w:w="7088" w:type="dxa"/>
          </w:tcPr>
          <w:p w:rsidR="002C0588" w:rsidRDefault="006A753E" w:rsidP="006A753E">
            <w:pPr>
              <w:rPr>
                <w:lang w:eastAsia="zh-CN"/>
              </w:rPr>
            </w:pPr>
            <w:r>
              <w:rPr>
                <w:lang w:eastAsia="zh-CN"/>
              </w:rPr>
              <w:t>Yes</w:t>
            </w:r>
            <w:r>
              <w:rPr>
                <w:rFonts w:hint="eastAsia"/>
                <w:lang w:eastAsia="zh-CN"/>
              </w:rPr>
              <w:t xml:space="preserve">. We donot see the limitation from the RAN2 spec point of view. </w:t>
            </w:r>
          </w:p>
        </w:tc>
      </w:tr>
      <w:tr w:rsidR="00986824" w:rsidTr="002435E6">
        <w:trPr>
          <w:trHeight w:val="390"/>
        </w:trPr>
        <w:tc>
          <w:tcPr>
            <w:tcW w:w="1696" w:type="dxa"/>
          </w:tcPr>
          <w:p w:rsidR="00986824" w:rsidRPr="00986824" w:rsidRDefault="00986824" w:rsidP="00EF1B60">
            <w:pPr>
              <w:rPr>
                <w:lang w:eastAsia="zh-CN"/>
              </w:rPr>
            </w:pPr>
            <w:r>
              <w:rPr>
                <w:lang w:eastAsia="zh-CN"/>
              </w:rPr>
              <w:t>vivo</w:t>
            </w:r>
          </w:p>
        </w:tc>
        <w:tc>
          <w:tcPr>
            <w:tcW w:w="7088" w:type="dxa"/>
          </w:tcPr>
          <w:p w:rsidR="00986824" w:rsidRDefault="00986824" w:rsidP="006A753E">
            <w:pPr>
              <w:rPr>
                <w:lang w:eastAsia="zh-CN"/>
              </w:rPr>
            </w:pPr>
            <w:r>
              <w:rPr>
                <w:rFonts w:hint="eastAsia"/>
                <w:lang w:eastAsia="zh-CN"/>
              </w:rPr>
              <w:t>Yes, it should be allowed for the first RRC reconfiguration</w:t>
            </w:r>
          </w:p>
        </w:tc>
      </w:tr>
      <w:tr w:rsidR="00B54C18" w:rsidTr="002435E6">
        <w:trPr>
          <w:trHeight w:val="390"/>
        </w:trPr>
        <w:tc>
          <w:tcPr>
            <w:tcW w:w="1696" w:type="dxa"/>
          </w:tcPr>
          <w:p w:rsidR="00B54C18" w:rsidRDefault="00B54C18" w:rsidP="00B54C18">
            <w:pPr>
              <w:rPr>
                <w:lang w:eastAsia="zh-CN"/>
              </w:rPr>
            </w:pPr>
            <w:r>
              <w:rPr>
                <w:lang w:eastAsia="zh-CN"/>
              </w:rPr>
              <w:lastRenderedPageBreak/>
              <w:t>Interdigital</w:t>
            </w:r>
          </w:p>
        </w:tc>
        <w:tc>
          <w:tcPr>
            <w:tcW w:w="7088" w:type="dxa"/>
          </w:tcPr>
          <w:p w:rsidR="00B54C18" w:rsidRDefault="00B54C18" w:rsidP="00B54C18">
            <w:pPr>
              <w:rPr>
                <w:lang w:eastAsia="ja-JP"/>
              </w:rPr>
            </w:pPr>
            <w:r>
              <w:rPr>
                <w:lang w:eastAsia="ja-JP"/>
              </w:rPr>
              <w:t>We don’t see the use case as critical since the bearers could be moved to SCG bearers after MCG is setup, but can be supported if there is minimal specification impact.</w:t>
            </w:r>
          </w:p>
        </w:tc>
      </w:tr>
      <w:tr w:rsidR="008572E9" w:rsidTr="002435E6">
        <w:trPr>
          <w:trHeight w:val="390"/>
        </w:trPr>
        <w:tc>
          <w:tcPr>
            <w:tcW w:w="1696" w:type="dxa"/>
          </w:tcPr>
          <w:p w:rsidR="008572E9" w:rsidRDefault="008572E9" w:rsidP="008572E9">
            <w:pPr>
              <w:rPr>
                <w:lang w:eastAsia="zh-CN"/>
              </w:rPr>
            </w:pPr>
            <w:r>
              <w:rPr>
                <w:lang w:eastAsia="zh-CN"/>
              </w:rPr>
              <w:t>Qualcomm</w:t>
            </w:r>
          </w:p>
        </w:tc>
        <w:tc>
          <w:tcPr>
            <w:tcW w:w="7088" w:type="dxa"/>
          </w:tcPr>
          <w:p w:rsidR="008572E9" w:rsidRDefault="008572E9" w:rsidP="008572E9">
            <w:pPr>
              <w:rPr>
                <w:lang w:eastAsia="zh-CN"/>
              </w:rPr>
            </w:pPr>
            <w:r>
              <w:rPr>
                <w:lang w:eastAsia="zh-CN"/>
              </w:rPr>
              <w:t xml:space="preserve">Yes, there is no issue preventing this from RRC perspective.  For this to work end-to-end, the eNB will have to do SN Addition procedure before sending Initial Context Setup Response so as to include the GTP TEID for the SCG bearers. </w:t>
            </w:r>
          </w:p>
        </w:tc>
      </w:tr>
      <w:tr w:rsidR="008572E9" w:rsidTr="002435E6">
        <w:trPr>
          <w:trHeight w:val="390"/>
        </w:trPr>
        <w:tc>
          <w:tcPr>
            <w:tcW w:w="1696" w:type="dxa"/>
          </w:tcPr>
          <w:p w:rsidR="008572E9" w:rsidRDefault="008572E9" w:rsidP="008572E9">
            <w:pPr>
              <w:rPr>
                <w:lang w:eastAsia="zh-CN"/>
              </w:rPr>
            </w:pPr>
            <w:r>
              <w:rPr>
                <w:lang w:eastAsia="zh-CN"/>
              </w:rPr>
              <w:t>Ericsson</w:t>
            </w:r>
          </w:p>
        </w:tc>
        <w:tc>
          <w:tcPr>
            <w:tcW w:w="7088" w:type="dxa"/>
          </w:tcPr>
          <w:p w:rsidR="008572E9" w:rsidRDefault="008572E9" w:rsidP="008572E9">
            <w:pPr>
              <w:rPr>
                <w:lang w:eastAsia="zh-CN"/>
              </w:rPr>
            </w:pPr>
            <w:r>
              <w:rPr>
                <w:lang w:eastAsia="zh-CN"/>
              </w:rPr>
              <w:t>Yes. LTE DC already allows this.</w:t>
            </w:r>
          </w:p>
        </w:tc>
      </w:tr>
      <w:tr w:rsidR="00A032CF" w:rsidTr="00286139">
        <w:tc>
          <w:tcPr>
            <w:tcW w:w="1696" w:type="dxa"/>
          </w:tcPr>
          <w:p w:rsidR="00A032CF" w:rsidRPr="00945A6A" w:rsidRDefault="00A032CF" w:rsidP="00286139">
            <w:pPr>
              <w:rPr>
                <w:rFonts w:eastAsia="MS Mincho"/>
                <w:lang w:eastAsia="ja-JP"/>
              </w:rPr>
            </w:pPr>
            <w:r>
              <w:rPr>
                <w:rFonts w:eastAsia="MS Mincho" w:hint="eastAsia"/>
                <w:lang w:eastAsia="ja-JP"/>
              </w:rPr>
              <w:t>DCM</w:t>
            </w:r>
          </w:p>
        </w:tc>
        <w:tc>
          <w:tcPr>
            <w:tcW w:w="7088" w:type="dxa"/>
          </w:tcPr>
          <w:p w:rsidR="00A032CF" w:rsidRDefault="00A032CF" w:rsidP="00286139">
            <w:pPr>
              <w:rPr>
                <w:lang w:eastAsia="zh-CN"/>
              </w:rPr>
            </w:pPr>
            <w:r>
              <w:rPr>
                <w:lang w:eastAsia="ja-JP"/>
              </w:rPr>
              <w:t>Not the most important use case.</w:t>
            </w:r>
            <w:r>
              <w:rPr>
                <w:rFonts w:hint="eastAsia"/>
                <w:lang w:eastAsia="ja-JP"/>
              </w:rPr>
              <w:t xml:space="preserve"> But could be supported if there is no additional complexity or concern.</w:t>
            </w:r>
          </w:p>
        </w:tc>
      </w:tr>
    </w:tbl>
    <w:p w:rsidR="002D6E79" w:rsidRDefault="002D6E79" w:rsidP="00840149">
      <w:pPr>
        <w:rPr>
          <w:b/>
        </w:rPr>
      </w:pPr>
    </w:p>
    <w:p w:rsidR="00710DC2" w:rsidRDefault="00710DC2" w:rsidP="00840149">
      <w:pPr>
        <w:rPr>
          <w:b/>
        </w:rPr>
      </w:pPr>
      <w:r>
        <w:rPr>
          <w:b/>
        </w:rPr>
        <w:t>Observation 1: Majority of the companies view that for</w:t>
      </w:r>
      <w:r w:rsidRPr="00710DC2">
        <w:rPr>
          <w:b/>
        </w:rPr>
        <w:t xml:space="preserve"> EN-DC the first RRC reconfiguration during the </w:t>
      </w:r>
      <w:r>
        <w:rPr>
          <w:b/>
        </w:rPr>
        <w:t xml:space="preserve">initial context setup procedure can </w:t>
      </w:r>
      <w:r w:rsidRPr="00710DC2">
        <w:rPr>
          <w:b/>
        </w:rPr>
        <w:t xml:space="preserve">already </w:t>
      </w:r>
      <w:r>
        <w:rPr>
          <w:b/>
        </w:rPr>
        <w:t>carry</w:t>
      </w:r>
      <w:r w:rsidRPr="00710DC2">
        <w:rPr>
          <w:b/>
        </w:rPr>
        <w:t xml:space="preserve"> a SCG configuration</w:t>
      </w:r>
      <w:r>
        <w:rPr>
          <w:b/>
        </w:rPr>
        <w:t>.</w:t>
      </w:r>
    </w:p>
    <w:p w:rsidR="00710DC2" w:rsidRDefault="00710DC2" w:rsidP="00840149">
      <w:pPr>
        <w:rPr>
          <w:b/>
        </w:rPr>
      </w:pPr>
      <w:r>
        <w:rPr>
          <w:b/>
        </w:rPr>
        <w:t>Observation 2: At least 2 companies think this is not needed for Rel-15.</w:t>
      </w:r>
    </w:p>
    <w:p w:rsidR="003F7A5E" w:rsidRDefault="00840149" w:rsidP="002435E6">
      <w:r w:rsidRPr="001341B9">
        <w:rPr>
          <w:b/>
          <w:highlight w:val="yellow"/>
        </w:rPr>
        <w:t xml:space="preserve">Question 2: </w:t>
      </w:r>
      <w:r w:rsidRPr="001341B9">
        <w:rPr>
          <w:highlight w:val="yellow"/>
        </w:rPr>
        <w:t xml:space="preserve"> </w:t>
      </w:r>
      <w:r w:rsidR="005E0219">
        <w:rPr>
          <w:highlight w:val="yellow"/>
        </w:rPr>
        <w:t>For the above scenario, d</w:t>
      </w:r>
      <w:r w:rsidR="002D6E79" w:rsidRPr="001341B9">
        <w:rPr>
          <w:highlight w:val="yellow"/>
        </w:rPr>
        <w:t xml:space="preserve">o companies agree that MN </w:t>
      </w:r>
      <w:r w:rsidR="001341B9" w:rsidRPr="001341B9">
        <w:rPr>
          <w:highlight w:val="yellow"/>
        </w:rPr>
        <w:t xml:space="preserve">triggers the SN addition based on </w:t>
      </w:r>
      <w:r w:rsidR="002D6E79" w:rsidRPr="001341B9">
        <w:rPr>
          <w:highlight w:val="yellow"/>
        </w:rPr>
        <w:t xml:space="preserve">measurements for NR frequencies </w:t>
      </w:r>
      <w:r w:rsidR="001341B9" w:rsidRPr="001341B9">
        <w:rPr>
          <w:highlight w:val="yellow"/>
        </w:rPr>
        <w:t>OR is it a blind addition (answer YES if you agree and NO if you don’t)</w:t>
      </w:r>
    </w:p>
    <w:tbl>
      <w:tblPr>
        <w:tblStyle w:val="TableGrid"/>
        <w:tblW w:w="0" w:type="auto"/>
        <w:tblLook w:val="04A0" w:firstRow="1" w:lastRow="0" w:firstColumn="1" w:lastColumn="0" w:noHBand="0" w:noVBand="1"/>
      </w:tblPr>
      <w:tblGrid>
        <w:gridCol w:w="1696"/>
        <w:gridCol w:w="7088"/>
      </w:tblGrid>
      <w:tr w:rsidR="00840149" w:rsidTr="00D04CA3">
        <w:tc>
          <w:tcPr>
            <w:tcW w:w="1696" w:type="dxa"/>
          </w:tcPr>
          <w:p w:rsidR="00840149" w:rsidRDefault="00840149" w:rsidP="00D04CA3">
            <w:r>
              <w:t>Company</w:t>
            </w:r>
          </w:p>
        </w:tc>
        <w:tc>
          <w:tcPr>
            <w:tcW w:w="7088" w:type="dxa"/>
          </w:tcPr>
          <w:p w:rsidR="00840149" w:rsidRDefault="009C45A3" w:rsidP="00D04CA3">
            <w:r>
              <w:t>Response with reasons</w:t>
            </w:r>
          </w:p>
        </w:tc>
      </w:tr>
      <w:tr w:rsidR="00840149" w:rsidTr="00D04CA3">
        <w:tc>
          <w:tcPr>
            <w:tcW w:w="1696" w:type="dxa"/>
          </w:tcPr>
          <w:p w:rsidR="00840149" w:rsidRDefault="004917EC" w:rsidP="00D04CA3">
            <w:r>
              <w:t>OPPO</w:t>
            </w:r>
          </w:p>
        </w:tc>
        <w:tc>
          <w:tcPr>
            <w:tcW w:w="7088" w:type="dxa"/>
          </w:tcPr>
          <w:p w:rsidR="00840149" w:rsidRDefault="004917EC" w:rsidP="00D04CA3">
            <w:r>
              <w:t>We prefer that the addition is based on some RRM measurements to ensure more optimized SN side configuration.</w:t>
            </w:r>
          </w:p>
        </w:tc>
      </w:tr>
      <w:tr w:rsidR="00EF1B60" w:rsidTr="00D04CA3">
        <w:tc>
          <w:tcPr>
            <w:tcW w:w="1696" w:type="dxa"/>
          </w:tcPr>
          <w:p w:rsidR="00EF1B60" w:rsidRDefault="00EF1B60" w:rsidP="00EF1B60">
            <w:r>
              <w:t>Intel</w:t>
            </w:r>
          </w:p>
        </w:tc>
        <w:tc>
          <w:tcPr>
            <w:tcW w:w="7088" w:type="dxa"/>
          </w:tcPr>
          <w:p w:rsidR="00EF1B60" w:rsidRDefault="00EF1B60" w:rsidP="00EF1B60">
            <w:r>
              <w:t>During initial context setup, measurement result is not allowed to be sent in any UL RRC message before AS security is activated. In LTE, when security is activated, SRB2 and DRBs are also always setup at the same time. Hence it is not possible to have measurement before DRB setup and it is only be possible with blind addition.</w:t>
            </w:r>
          </w:p>
        </w:tc>
      </w:tr>
      <w:tr w:rsidR="00640EF7" w:rsidTr="00D04CA3">
        <w:tc>
          <w:tcPr>
            <w:tcW w:w="1696" w:type="dxa"/>
          </w:tcPr>
          <w:p w:rsidR="00640EF7" w:rsidRDefault="00640EF7" w:rsidP="00EF1B60">
            <w:pPr>
              <w:rPr>
                <w:lang w:eastAsia="zh-CN"/>
              </w:rPr>
            </w:pPr>
            <w:r>
              <w:rPr>
                <w:rFonts w:hint="eastAsia"/>
                <w:lang w:eastAsia="zh-CN"/>
              </w:rPr>
              <w:t xml:space="preserve">Huawei </w:t>
            </w:r>
          </w:p>
        </w:tc>
        <w:tc>
          <w:tcPr>
            <w:tcW w:w="7088" w:type="dxa"/>
          </w:tcPr>
          <w:p w:rsidR="00640EF7" w:rsidRDefault="00640EF7" w:rsidP="00EF1B60">
            <w:pPr>
              <w:rPr>
                <w:lang w:eastAsia="zh-CN"/>
              </w:rPr>
            </w:pPr>
            <w:r>
              <w:rPr>
                <w:rFonts w:hint="eastAsia"/>
                <w:lang w:eastAsia="zh-CN"/>
              </w:rPr>
              <w:t>At least blind configuration should be allowed.</w:t>
            </w:r>
          </w:p>
        </w:tc>
      </w:tr>
      <w:tr w:rsidR="00D60BBF" w:rsidTr="00D04CA3">
        <w:tc>
          <w:tcPr>
            <w:tcW w:w="1696" w:type="dxa"/>
          </w:tcPr>
          <w:p w:rsidR="00D60BBF" w:rsidRDefault="00D60BBF" w:rsidP="00EF1B60">
            <w:pPr>
              <w:rPr>
                <w:lang w:eastAsia="zh-CN"/>
              </w:rPr>
            </w:pPr>
            <w:r>
              <w:rPr>
                <w:rFonts w:hint="eastAsia"/>
                <w:lang w:eastAsia="zh-CN"/>
              </w:rPr>
              <w:t>CATT</w:t>
            </w:r>
          </w:p>
        </w:tc>
        <w:tc>
          <w:tcPr>
            <w:tcW w:w="7088" w:type="dxa"/>
          </w:tcPr>
          <w:p w:rsidR="00D60BBF" w:rsidRDefault="007C75F6" w:rsidP="00695D59">
            <w:pPr>
              <w:rPr>
                <w:lang w:eastAsia="zh-CN"/>
              </w:rPr>
            </w:pPr>
            <w:r>
              <w:rPr>
                <w:rFonts w:hint="eastAsia"/>
                <w:lang w:eastAsia="zh-CN"/>
              </w:rPr>
              <w:t xml:space="preserve">Yes, we think SN addition can be a blind addition </w:t>
            </w:r>
            <w:r w:rsidR="00695D59">
              <w:rPr>
                <w:rFonts w:hint="eastAsia"/>
                <w:lang w:eastAsia="zh-CN"/>
              </w:rPr>
              <w:t>according to</w:t>
            </w:r>
            <w:r>
              <w:rPr>
                <w:rFonts w:hint="eastAsia"/>
                <w:lang w:eastAsia="zh-CN"/>
              </w:rPr>
              <w:t xml:space="preserve"> the network deployment, e.g. collocated MN</w:t>
            </w:r>
            <w:r w:rsidR="009E57B3">
              <w:rPr>
                <w:rFonts w:hint="eastAsia"/>
                <w:lang w:eastAsia="zh-CN"/>
              </w:rPr>
              <w:t>/S</w:t>
            </w:r>
            <w:r>
              <w:rPr>
                <w:rFonts w:hint="eastAsia"/>
                <w:lang w:eastAsia="zh-CN"/>
              </w:rPr>
              <w:t xml:space="preserve">N </w:t>
            </w:r>
            <w:r w:rsidR="002B2C71">
              <w:rPr>
                <w:rFonts w:hint="eastAsia"/>
                <w:lang w:eastAsia="zh-CN"/>
              </w:rPr>
              <w:t>deployment</w:t>
            </w:r>
            <w:r>
              <w:rPr>
                <w:rFonts w:hint="eastAsia"/>
                <w:lang w:eastAsia="zh-CN"/>
              </w:rPr>
              <w:t xml:space="preserve">. </w:t>
            </w:r>
          </w:p>
        </w:tc>
      </w:tr>
      <w:tr w:rsidR="00986824" w:rsidTr="00D04CA3">
        <w:tc>
          <w:tcPr>
            <w:tcW w:w="1696" w:type="dxa"/>
          </w:tcPr>
          <w:p w:rsidR="00986824" w:rsidRDefault="00986824" w:rsidP="00EF1B60">
            <w:pPr>
              <w:rPr>
                <w:lang w:eastAsia="zh-CN"/>
              </w:rPr>
            </w:pPr>
            <w:r>
              <w:rPr>
                <w:rFonts w:hint="eastAsia"/>
                <w:lang w:eastAsia="zh-CN"/>
              </w:rPr>
              <w:t>vivo</w:t>
            </w:r>
          </w:p>
        </w:tc>
        <w:tc>
          <w:tcPr>
            <w:tcW w:w="7088" w:type="dxa"/>
          </w:tcPr>
          <w:p w:rsidR="00986824" w:rsidRDefault="00986824" w:rsidP="00986824">
            <w:pPr>
              <w:rPr>
                <w:lang w:eastAsia="zh-CN"/>
              </w:rPr>
            </w:pPr>
            <w:r w:rsidRPr="00986824">
              <w:t>SN addition based on measurements for NR frequencies</w:t>
            </w:r>
            <w:r>
              <w:t xml:space="preserve"> is preferable, but </w:t>
            </w:r>
            <w:r w:rsidRPr="00986824">
              <w:t>blind addition</w:t>
            </w:r>
            <w:r>
              <w:t xml:space="preserve"> may be considered in case there is no measurements results.</w:t>
            </w:r>
          </w:p>
        </w:tc>
      </w:tr>
      <w:tr w:rsidR="00B54C18" w:rsidTr="00D04CA3">
        <w:tc>
          <w:tcPr>
            <w:tcW w:w="1696" w:type="dxa"/>
          </w:tcPr>
          <w:p w:rsidR="00B54C18" w:rsidRDefault="00B54C18" w:rsidP="00EF1B60">
            <w:pPr>
              <w:rPr>
                <w:lang w:eastAsia="zh-CN"/>
              </w:rPr>
            </w:pPr>
            <w:r>
              <w:rPr>
                <w:lang w:eastAsia="zh-CN"/>
              </w:rPr>
              <w:t>Interdigital</w:t>
            </w:r>
          </w:p>
        </w:tc>
        <w:tc>
          <w:tcPr>
            <w:tcW w:w="7088" w:type="dxa"/>
          </w:tcPr>
          <w:p w:rsidR="00B54C18" w:rsidRPr="00986824" w:rsidRDefault="00B54C18" w:rsidP="00986824">
            <w:r>
              <w:rPr>
                <w:rFonts w:eastAsia="MS Mincho"/>
                <w:lang w:eastAsia="ja-JP"/>
              </w:rPr>
              <w:t>Measurements can currently not be provided prior/during initial context setup, so only blind addition is possible.</w:t>
            </w:r>
          </w:p>
        </w:tc>
      </w:tr>
      <w:tr w:rsidR="008572E9" w:rsidTr="00D04CA3">
        <w:tc>
          <w:tcPr>
            <w:tcW w:w="1696" w:type="dxa"/>
          </w:tcPr>
          <w:p w:rsidR="008572E9" w:rsidRDefault="008572E9" w:rsidP="008572E9">
            <w:pPr>
              <w:rPr>
                <w:lang w:eastAsia="zh-CN"/>
              </w:rPr>
            </w:pPr>
            <w:r>
              <w:rPr>
                <w:lang w:eastAsia="zh-CN"/>
              </w:rPr>
              <w:t>Qualcomm</w:t>
            </w:r>
          </w:p>
        </w:tc>
        <w:tc>
          <w:tcPr>
            <w:tcW w:w="7088" w:type="dxa"/>
          </w:tcPr>
          <w:p w:rsidR="008572E9" w:rsidRDefault="008572E9" w:rsidP="008572E9">
            <w:pPr>
              <w:rPr>
                <w:lang w:eastAsia="zh-CN"/>
              </w:rPr>
            </w:pPr>
            <w:r>
              <w:rPr>
                <w:lang w:eastAsia="zh-CN"/>
              </w:rPr>
              <w:t>Agree that this is blind addition but this should be an allowed implementation, just like in LTE where the eNB can trigger handover and SN Addition without UE measurements.</w:t>
            </w:r>
          </w:p>
        </w:tc>
      </w:tr>
      <w:tr w:rsidR="008572E9" w:rsidTr="00D04CA3">
        <w:tc>
          <w:tcPr>
            <w:tcW w:w="1696" w:type="dxa"/>
          </w:tcPr>
          <w:p w:rsidR="008572E9" w:rsidRDefault="008572E9" w:rsidP="008572E9">
            <w:pPr>
              <w:rPr>
                <w:lang w:eastAsia="zh-CN"/>
              </w:rPr>
            </w:pPr>
            <w:r>
              <w:rPr>
                <w:lang w:eastAsia="zh-CN"/>
              </w:rPr>
              <w:t>Ericsson</w:t>
            </w:r>
          </w:p>
        </w:tc>
        <w:tc>
          <w:tcPr>
            <w:tcW w:w="7088" w:type="dxa"/>
          </w:tcPr>
          <w:p w:rsidR="008572E9" w:rsidRDefault="008572E9" w:rsidP="008572E9">
            <w:pPr>
              <w:rPr>
                <w:lang w:eastAsia="zh-CN"/>
              </w:rPr>
            </w:pPr>
            <w:r>
              <w:rPr>
                <w:lang w:eastAsia="zh-CN"/>
              </w:rPr>
              <w:t>It should be up to network implementation/deployment to allow blind DC setup/configuration without measurements. This is similar to handover operations, where the network usually triggers HO based on measurements, but it is not required/mandatory that the network has to get measurements to perform handover. Also, early measurements to enable fast DC setup are still an option to be considered, which, if available, can be used instead of blind setup/configuration.</w:t>
            </w:r>
          </w:p>
        </w:tc>
      </w:tr>
      <w:tr w:rsidR="00A032CF" w:rsidTr="00286139">
        <w:tc>
          <w:tcPr>
            <w:tcW w:w="1696" w:type="dxa"/>
          </w:tcPr>
          <w:p w:rsidR="00A032CF" w:rsidRDefault="00A032CF" w:rsidP="00286139">
            <w:pPr>
              <w:rPr>
                <w:lang w:eastAsia="ja-JP"/>
              </w:rPr>
            </w:pPr>
            <w:r>
              <w:rPr>
                <w:rFonts w:hint="eastAsia"/>
                <w:lang w:eastAsia="ja-JP"/>
              </w:rPr>
              <w:t>DCM</w:t>
            </w:r>
          </w:p>
        </w:tc>
        <w:tc>
          <w:tcPr>
            <w:tcW w:w="7088" w:type="dxa"/>
          </w:tcPr>
          <w:p w:rsidR="00A032CF" w:rsidRDefault="00A032CF" w:rsidP="00286139">
            <w:pPr>
              <w:rPr>
                <w:lang w:eastAsia="ja-JP"/>
              </w:rPr>
            </w:pPr>
            <w:r>
              <w:rPr>
                <w:rFonts w:eastAsia="MS Mincho" w:hint="eastAsia"/>
                <w:lang w:eastAsia="ja-JP"/>
              </w:rPr>
              <w:t xml:space="preserve">Our understanding is that when </w:t>
            </w:r>
            <w:r>
              <w:rPr>
                <w:rFonts w:hint="eastAsia"/>
                <w:lang w:eastAsia="ja-JP"/>
              </w:rPr>
              <w:t xml:space="preserve">MN decide to do SN addition during the  Initial Context Setup timing, the only way to do this is </w:t>
            </w:r>
            <w:r>
              <w:rPr>
                <w:rFonts w:eastAsia="MS Mincho" w:hint="eastAsia"/>
                <w:lang w:eastAsia="ja-JP"/>
              </w:rPr>
              <w:t xml:space="preserve">blindly </w:t>
            </w:r>
            <w:r>
              <w:rPr>
                <w:rFonts w:hint="eastAsia"/>
                <w:lang w:eastAsia="ja-JP"/>
              </w:rPr>
              <w:t>without measurements.</w:t>
            </w:r>
          </w:p>
        </w:tc>
      </w:tr>
    </w:tbl>
    <w:p w:rsidR="00710DC2" w:rsidRDefault="00710DC2" w:rsidP="00710DC2">
      <w:pPr>
        <w:pStyle w:val="Heading2"/>
        <w:numPr>
          <w:ilvl w:val="0"/>
          <w:numId w:val="0"/>
        </w:numPr>
        <w:ind w:left="576" w:hanging="576"/>
        <w:rPr>
          <w:rFonts w:asciiTheme="minorHAnsi" w:eastAsiaTheme="minorEastAsia" w:hAnsiTheme="minorHAnsi" w:cstheme="minorBidi"/>
          <w:b/>
          <w:color w:val="auto"/>
          <w:sz w:val="22"/>
          <w:szCs w:val="22"/>
        </w:rPr>
      </w:pPr>
    </w:p>
    <w:p w:rsidR="002D6E79" w:rsidRPr="00710DC2" w:rsidRDefault="002D6E79" w:rsidP="00710DC2">
      <w:pPr>
        <w:pStyle w:val="Heading2"/>
        <w:numPr>
          <w:ilvl w:val="0"/>
          <w:numId w:val="0"/>
        </w:numPr>
        <w:ind w:left="576" w:hanging="576"/>
        <w:rPr>
          <w:rFonts w:asciiTheme="minorHAnsi" w:eastAsiaTheme="minorEastAsia" w:hAnsiTheme="minorHAnsi" w:cstheme="minorBidi"/>
          <w:b/>
          <w:color w:val="auto"/>
          <w:sz w:val="22"/>
          <w:szCs w:val="22"/>
        </w:rPr>
      </w:pPr>
    </w:p>
    <w:p w:rsidR="00710DC2" w:rsidRDefault="00710DC2" w:rsidP="00710DC2">
      <w:pPr>
        <w:rPr>
          <w:b/>
        </w:rPr>
      </w:pPr>
      <w:r>
        <w:rPr>
          <w:b/>
        </w:rPr>
        <w:t>Observation 3: Most companies agree that the above scenario can be supported by MN perf</w:t>
      </w:r>
      <w:r w:rsidR="00F3743F">
        <w:rPr>
          <w:b/>
        </w:rPr>
        <w:t>orming a blind SN addition (some arguing that the MN cannot have measurements pending security activation).</w:t>
      </w:r>
    </w:p>
    <w:p w:rsidR="00F3743F" w:rsidRPr="00710DC2" w:rsidRDefault="00F3743F" w:rsidP="00710DC2">
      <w:r>
        <w:rPr>
          <w:b/>
        </w:rPr>
        <w:t>Observation 4: Only one company would like to consider the option where early measurements for fast DC setup are allowed to offset the blind addition.</w:t>
      </w:r>
    </w:p>
    <w:p w:rsidR="002D6E79" w:rsidRPr="002D6E79" w:rsidRDefault="00656810" w:rsidP="002D6E79">
      <w:pPr>
        <w:pStyle w:val="Heading2"/>
      </w:pPr>
      <w:r>
        <w:t>Other</w:t>
      </w:r>
    </w:p>
    <w:p w:rsidR="00656810" w:rsidRDefault="002D6E79" w:rsidP="00656810">
      <w:r w:rsidRPr="00196485">
        <w:rPr>
          <w:b/>
          <w:highlight w:val="yellow"/>
        </w:rPr>
        <w:t>Question 3</w:t>
      </w:r>
      <w:r w:rsidR="00656810" w:rsidRPr="00196485">
        <w:rPr>
          <w:b/>
          <w:highlight w:val="yellow"/>
        </w:rPr>
        <w:t xml:space="preserve">: </w:t>
      </w:r>
      <w:r w:rsidR="00656810" w:rsidRPr="00196485">
        <w:rPr>
          <w:highlight w:val="yellow"/>
        </w:rPr>
        <w:t>Any other points companies think is useful to discuss</w:t>
      </w:r>
    </w:p>
    <w:tbl>
      <w:tblPr>
        <w:tblStyle w:val="TableGrid"/>
        <w:tblW w:w="0" w:type="auto"/>
        <w:tblLook w:val="04A0" w:firstRow="1" w:lastRow="0" w:firstColumn="1" w:lastColumn="0" w:noHBand="0" w:noVBand="1"/>
      </w:tblPr>
      <w:tblGrid>
        <w:gridCol w:w="1696"/>
        <w:gridCol w:w="7088"/>
      </w:tblGrid>
      <w:tr w:rsidR="00656810" w:rsidTr="00D04CA3">
        <w:tc>
          <w:tcPr>
            <w:tcW w:w="1696" w:type="dxa"/>
          </w:tcPr>
          <w:p w:rsidR="00656810" w:rsidRDefault="00656810" w:rsidP="00D04CA3">
            <w:r>
              <w:t>Company</w:t>
            </w:r>
          </w:p>
        </w:tc>
        <w:tc>
          <w:tcPr>
            <w:tcW w:w="7088" w:type="dxa"/>
          </w:tcPr>
          <w:p w:rsidR="00656810" w:rsidRDefault="00656810" w:rsidP="00D04CA3">
            <w:r>
              <w:t>Response with reasons</w:t>
            </w:r>
          </w:p>
        </w:tc>
      </w:tr>
      <w:tr w:rsidR="00656810" w:rsidTr="00D04CA3">
        <w:tc>
          <w:tcPr>
            <w:tcW w:w="1696" w:type="dxa"/>
          </w:tcPr>
          <w:p w:rsidR="00656810" w:rsidRDefault="00640EF7" w:rsidP="00D04CA3">
            <w:pPr>
              <w:rPr>
                <w:lang w:eastAsia="zh-CN"/>
              </w:rPr>
            </w:pPr>
            <w:r>
              <w:rPr>
                <w:rFonts w:hint="eastAsia"/>
                <w:lang w:eastAsia="zh-CN"/>
              </w:rPr>
              <w:t>Huawei</w:t>
            </w:r>
          </w:p>
        </w:tc>
        <w:tc>
          <w:tcPr>
            <w:tcW w:w="7088" w:type="dxa"/>
          </w:tcPr>
          <w:p w:rsidR="00656810" w:rsidRDefault="00640EF7" w:rsidP="00D04CA3">
            <w:pPr>
              <w:rPr>
                <w:lang w:eastAsia="zh-CN"/>
              </w:rPr>
            </w:pPr>
            <w:r>
              <w:rPr>
                <w:rFonts w:hint="eastAsia"/>
                <w:lang w:eastAsia="zh-CN"/>
              </w:rPr>
              <w:t xml:space="preserve">At least, after initial context setup, we should allow the new bearer can be setup in SN directly. </w:t>
            </w:r>
          </w:p>
        </w:tc>
      </w:tr>
      <w:tr w:rsidR="00A032CF" w:rsidTr="00286139">
        <w:tc>
          <w:tcPr>
            <w:tcW w:w="1696" w:type="dxa"/>
          </w:tcPr>
          <w:p w:rsidR="00A032CF" w:rsidRDefault="00A032CF" w:rsidP="00286139">
            <w:pPr>
              <w:rPr>
                <w:lang w:eastAsia="ja-JP"/>
              </w:rPr>
            </w:pPr>
            <w:r>
              <w:rPr>
                <w:rFonts w:hint="eastAsia"/>
                <w:lang w:eastAsia="ja-JP"/>
              </w:rPr>
              <w:t>DCM</w:t>
            </w:r>
          </w:p>
        </w:tc>
        <w:tc>
          <w:tcPr>
            <w:tcW w:w="7088" w:type="dxa"/>
          </w:tcPr>
          <w:p w:rsidR="00A032CF" w:rsidRDefault="00A032CF" w:rsidP="00286139">
            <w:pPr>
              <w:pStyle w:val="ListParagraph"/>
              <w:numPr>
                <w:ilvl w:val="0"/>
                <w:numId w:val="6"/>
              </w:numPr>
              <w:rPr>
                <w:lang w:eastAsia="ja-JP"/>
              </w:rPr>
            </w:pPr>
            <w:r>
              <w:rPr>
                <w:rFonts w:hint="eastAsia"/>
                <w:lang w:eastAsia="ja-JP"/>
              </w:rPr>
              <w:t>When configuring SN without measurements, measurements is anyway needed before MN can decide whether the SCG leg can be used for sending user data.</w:t>
            </w:r>
            <w:r>
              <w:rPr>
                <w:rFonts w:eastAsia="MS Mincho" w:hint="eastAsia"/>
                <w:lang w:eastAsia="ja-JP"/>
              </w:rPr>
              <w:t xml:space="preserve"> (So from this perspective the benefit of blind configuration is small)</w:t>
            </w:r>
          </w:p>
          <w:p w:rsidR="00A032CF" w:rsidRDefault="00A032CF" w:rsidP="00286139">
            <w:pPr>
              <w:pStyle w:val="ListParagraph"/>
              <w:numPr>
                <w:ilvl w:val="0"/>
                <w:numId w:val="6"/>
              </w:numPr>
              <w:rPr>
                <w:lang w:eastAsia="ja-JP"/>
              </w:rPr>
            </w:pPr>
            <w:r>
              <w:rPr>
                <w:rFonts w:hint="eastAsia"/>
                <w:lang w:eastAsia="ja-JP"/>
              </w:rPr>
              <w:t>Will there be a delay of the first reconfiguration? (due to SN addition procedure between MN and SN)</w:t>
            </w:r>
          </w:p>
          <w:p w:rsidR="00A032CF" w:rsidRDefault="00A032CF" w:rsidP="00286139">
            <w:pPr>
              <w:pStyle w:val="ListParagraph"/>
              <w:ind w:left="360"/>
              <w:rPr>
                <w:lang w:eastAsia="ja-JP"/>
              </w:rPr>
            </w:pPr>
          </w:p>
        </w:tc>
      </w:tr>
      <w:tr w:rsidR="00793D89" w:rsidTr="00D04CA3">
        <w:tc>
          <w:tcPr>
            <w:tcW w:w="1696" w:type="dxa"/>
          </w:tcPr>
          <w:p w:rsidR="00793D89" w:rsidRPr="00A032CF" w:rsidRDefault="00793D89" w:rsidP="00D04CA3">
            <w:pPr>
              <w:rPr>
                <w:lang w:eastAsia="zh-CN"/>
              </w:rPr>
            </w:pPr>
          </w:p>
        </w:tc>
        <w:tc>
          <w:tcPr>
            <w:tcW w:w="7088" w:type="dxa"/>
          </w:tcPr>
          <w:p w:rsidR="00793D89" w:rsidRDefault="00793D89" w:rsidP="00D04CA3">
            <w:pPr>
              <w:rPr>
                <w:lang w:eastAsia="zh-CN"/>
              </w:rPr>
            </w:pPr>
          </w:p>
        </w:tc>
      </w:tr>
    </w:tbl>
    <w:p w:rsidR="00656810" w:rsidRDefault="00656810" w:rsidP="00656810"/>
    <w:p w:rsidR="00F3743F" w:rsidRPr="00656810" w:rsidRDefault="00F3743F" w:rsidP="00656810">
      <w:r>
        <w:rPr>
          <w:b/>
        </w:rPr>
        <w:t>Observation 5: Only one company ask if the additional delay for SN addition is a concern.</w:t>
      </w:r>
    </w:p>
    <w:p w:rsidR="00885FA7" w:rsidRDefault="00885FA7" w:rsidP="00885FA7">
      <w:pPr>
        <w:pStyle w:val="Heading1"/>
      </w:pPr>
      <w:r>
        <w:t>Summary and proposals</w:t>
      </w:r>
    </w:p>
    <w:p w:rsidR="00F3743F" w:rsidRDefault="00F3743F" w:rsidP="00F3743F">
      <w:pPr>
        <w:rPr>
          <w:b/>
        </w:rPr>
      </w:pPr>
      <w:r>
        <w:rPr>
          <w:b/>
        </w:rPr>
        <w:t>Observation 1: Majority of the companies view that for</w:t>
      </w:r>
      <w:r w:rsidRPr="00710DC2">
        <w:rPr>
          <w:b/>
        </w:rPr>
        <w:t xml:space="preserve"> EN-DC the first RRC reconfiguration during the </w:t>
      </w:r>
      <w:r>
        <w:rPr>
          <w:b/>
        </w:rPr>
        <w:t xml:space="preserve">initial context setup procedure can </w:t>
      </w:r>
      <w:r w:rsidRPr="00710DC2">
        <w:rPr>
          <w:b/>
        </w:rPr>
        <w:t xml:space="preserve">already </w:t>
      </w:r>
      <w:r>
        <w:rPr>
          <w:b/>
        </w:rPr>
        <w:t>carry</w:t>
      </w:r>
      <w:r w:rsidRPr="00710DC2">
        <w:rPr>
          <w:b/>
        </w:rPr>
        <w:t xml:space="preserve"> a SCG configuration</w:t>
      </w:r>
      <w:r>
        <w:rPr>
          <w:b/>
        </w:rPr>
        <w:t>.</w:t>
      </w:r>
    </w:p>
    <w:p w:rsidR="00F3743F" w:rsidRDefault="00F3743F" w:rsidP="00F3743F">
      <w:pPr>
        <w:rPr>
          <w:b/>
        </w:rPr>
      </w:pPr>
      <w:r>
        <w:rPr>
          <w:b/>
        </w:rPr>
        <w:t>Observation 2: At least 2 companies think this is not needed for Rel-15.</w:t>
      </w:r>
    </w:p>
    <w:p w:rsidR="00F3743F" w:rsidRDefault="00F3743F" w:rsidP="00F3743F">
      <w:pPr>
        <w:rPr>
          <w:b/>
        </w:rPr>
      </w:pPr>
      <w:r>
        <w:rPr>
          <w:b/>
        </w:rPr>
        <w:t>Observation 3: Most companies agree that the above scenario can be supported by MN performing a blind SN addition (some arguing that the MN cannot have measurements pending security activation).</w:t>
      </w:r>
    </w:p>
    <w:p w:rsidR="00F3743F" w:rsidRPr="00710DC2" w:rsidRDefault="00F3743F" w:rsidP="00F3743F">
      <w:r>
        <w:rPr>
          <w:b/>
        </w:rPr>
        <w:t>Observation 4: Only one company would like to consider the option where early measurements for fast DC setup are allowed to offset the blind addition.</w:t>
      </w:r>
    </w:p>
    <w:p w:rsidR="00F3743F" w:rsidRDefault="00F3743F" w:rsidP="00F3743F">
      <w:pPr>
        <w:rPr>
          <w:b/>
        </w:rPr>
      </w:pPr>
      <w:r>
        <w:rPr>
          <w:b/>
        </w:rPr>
        <w:t>Observation 5: Only one company ask if the additional delay for SN addition is a concern.</w:t>
      </w:r>
    </w:p>
    <w:p w:rsidR="00F3743F" w:rsidRPr="00F3743F" w:rsidRDefault="00F3743F" w:rsidP="00F3743F">
      <w:r w:rsidRPr="00F3743F">
        <w:t>Based on the above, it is proposed:</w:t>
      </w:r>
    </w:p>
    <w:p w:rsidR="00F3743F" w:rsidRDefault="00F3743F" w:rsidP="00F3743F">
      <w:pPr>
        <w:rPr>
          <w:b/>
        </w:rPr>
      </w:pPr>
      <w:r>
        <w:rPr>
          <w:b/>
        </w:rPr>
        <w:t>Proposal 1: At least for</w:t>
      </w:r>
      <w:r w:rsidRPr="00F3743F">
        <w:rPr>
          <w:b/>
        </w:rPr>
        <w:t xml:space="preserve"> EN-DC</w:t>
      </w:r>
      <w:r w:rsidR="00345BC4">
        <w:rPr>
          <w:b/>
        </w:rPr>
        <w:t xml:space="preserve">, </w:t>
      </w:r>
      <w:r w:rsidRPr="00F3743F">
        <w:rPr>
          <w:b/>
        </w:rPr>
        <w:t>the</w:t>
      </w:r>
      <w:r>
        <w:rPr>
          <w:b/>
        </w:rPr>
        <w:t xml:space="preserve"> MN can perform a blind addition of the SN and use the</w:t>
      </w:r>
      <w:r w:rsidRPr="00F3743F">
        <w:rPr>
          <w:b/>
        </w:rPr>
        <w:t xml:space="preserve"> first RRC reconfiguration</w:t>
      </w:r>
      <w:r w:rsidR="00930E42">
        <w:rPr>
          <w:b/>
        </w:rPr>
        <w:t xml:space="preserve"> message</w:t>
      </w:r>
      <w:bookmarkStart w:id="2" w:name="_GoBack"/>
      <w:bookmarkEnd w:id="2"/>
      <w:r w:rsidRPr="00F3743F">
        <w:rPr>
          <w:b/>
        </w:rPr>
        <w:t xml:space="preserve"> </w:t>
      </w:r>
      <w:r>
        <w:rPr>
          <w:b/>
        </w:rPr>
        <w:t xml:space="preserve">(i.e. </w:t>
      </w:r>
      <w:r w:rsidRPr="00F3743F">
        <w:rPr>
          <w:b/>
        </w:rPr>
        <w:t>during the initial context setup</w:t>
      </w:r>
      <w:r>
        <w:rPr>
          <w:b/>
        </w:rPr>
        <w:t>)</w:t>
      </w:r>
      <w:r w:rsidRPr="00F3743F">
        <w:rPr>
          <w:b/>
        </w:rPr>
        <w:t xml:space="preserve"> </w:t>
      </w:r>
      <w:r>
        <w:rPr>
          <w:b/>
        </w:rPr>
        <w:t>to carry</w:t>
      </w:r>
      <w:r w:rsidR="00562A6D">
        <w:rPr>
          <w:b/>
        </w:rPr>
        <w:t xml:space="preserve"> the corresponding</w:t>
      </w:r>
      <w:r w:rsidRPr="00F3743F">
        <w:rPr>
          <w:b/>
        </w:rPr>
        <w:t xml:space="preserve"> SCG configuration</w:t>
      </w:r>
      <w:r w:rsidR="00562A6D">
        <w:rPr>
          <w:b/>
        </w:rPr>
        <w:t>.</w:t>
      </w:r>
      <w:r>
        <w:rPr>
          <w:b/>
        </w:rPr>
        <w:t xml:space="preserve"> </w:t>
      </w:r>
    </w:p>
    <w:p w:rsidR="00885FA7" w:rsidRPr="00885FA7" w:rsidRDefault="00885FA7" w:rsidP="00F3743F"/>
    <w:sectPr w:rsidR="00885FA7" w:rsidRPr="00885FA7" w:rsidSect="00EC6AB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EED" w:rsidRDefault="00795EED" w:rsidP="00640EF7">
      <w:pPr>
        <w:spacing w:after="0" w:line="240" w:lineRule="auto"/>
      </w:pPr>
      <w:r>
        <w:separator/>
      </w:r>
    </w:p>
  </w:endnote>
  <w:endnote w:type="continuationSeparator" w:id="0">
    <w:p w:rsidR="00795EED" w:rsidRDefault="00795EED" w:rsidP="00640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EED" w:rsidRDefault="00795EED" w:rsidP="00640EF7">
      <w:pPr>
        <w:spacing w:after="0" w:line="240" w:lineRule="auto"/>
      </w:pPr>
      <w:r>
        <w:separator/>
      </w:r>
    </w:p>
  </w:footnote>
  <w:footnote w:type="continuationSeparator" w:id="0">
    <w:p w:rsidR="00795EED" w:rsidRDefault="00795EED" w:rsidP="00640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E912B1"/>
    <w:multiLevelType w:val="hybridMultilevel"/>
    <w:tmpl w:val="72603B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A5396"/>
    <w:multiLevelType w:val="hybridMultilevel"/>
    <w:tmpl w:val="9FFC1576"/>
    <w:lvl w:ilvl="0" w:tplc="2CB4718C">
      <w:start w:val="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440F1C"/>
    <w:multiLevelType w:val="hybridMultilevel"/>
    <w:tmpl w:val="F3E8B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07D0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A5E"/>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1B9"/>
    <w:rsid w:val="0013435E"/>
    <w:rsid w:val="00134CB8"/>
    <w:rsid w:val="001366EF"/>
    <w:rsid w:val="001368CB"/>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67DC0"/>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485"/>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5E6"/>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2C71"/>
    <w:rsid w:val="002B4174"/>
    <w:rsid w:val="002B48E9"/>
    <w:rsid w:val="002B4ABC"/>
    <w:rsid w:val="002B57CC"/>
    <w:rsid w:val="002B62CC"/>
    <w:rsid w:val="002B6BBA"/>
    <w:rsid w:val="002B6F99"/>
    <w:rsid w:val="002B78AA"/>
    <w:rsid w:val="002B7AB0"/>
    <w:rsid w:val="002B7F49"/>
    <w:rsid w:val="002C02E4"/>
    <w:rsid w:val="002C04E0"/>
    <w:rsid w:val="002C04FD"/>
    <w:rsid w:val="002C0588"/>
    <w:rsid w:val="002C05BF"/>
    <w:rsid w:val="002C0A90"/>
    <w:rsid w:val="002C2294"/>
    <w:rsid w:val="002C42B6"/>
    <w:rsid w:val="002C4698"/>
    <w:rsid w:val="002C4923"/>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6E79"/>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4E88"/>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5BC4"/>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349B"/>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1DB"/>
    <w:rsid w:val="003E6853"/>
    <w:rsid w:val="003F042E"/>
    <w:rsid w:val="003F0DF6"/>
    <w:rsid w:val="003F0FBB"/>
    <w:rsid w:val="003F16B8"/>
    <w:rsid w:val="003F2E40"/>
    <w:rsid w:val="003F41AD"/>
    <w:rsid w:val="003F65B5"/>
    <w:rsid w:val="003F72CE"/>
    <w:rsid w:val="003F7A5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39C6"/>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063A"/>
    <w:rsid w:val="004820E8"/>
    <w:rsid w:val="00483046"/>
    <w:rsid w:val="004863BE"/>
    <w:rsid w:val="004872C5"/>
    <w:rsid w:val="004917EC"/>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1C07"/>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2A6D"/>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0219"/>
    <w:rsid w:val="005E20C1"/>
    <w:rsid w:val="005E33FE"/>
    <w:rsid w:val="005E54A8"/>
    <w:rsid w:val="005E5F42"/>
    <w:rsid w:val="005E71C4"/>
    <w:rsid w:val="005F00EE"/>
    <w:rsid w:val="005F308D"/>
    <w:rsid w:val="005F35C2"/>
    <w:rsid w:val="005F428F"/>
    <w:rsid w:val="005F48E7"/>
    <w:rsid w:val="005F4E9B"/>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4F93"/>
    <w:rsid w:val="006350B4"/>
    <w:rsid w:val="006357B6"/>
    <w:rsid w:val="00636ED2"/>
    <w:rsid w:val="00637171"/>
    <w:rsid w:val="006378C5"/>
    <w:rsid w:val="00640EF7"/>
    <w:rsid w:val="0064286D"/>
    <w:rsid w:val="0064450D"/>
    <w:rsid w:val="00645660"/>
    <w:rsid w:val="00646761"/>
    <w:rsid w:val="00646933"/>
    <w:rsid w:val="006470E3"/>
    <w:rsid w:val="006504A5"/>
    <w:rsid w:val="00651ABA"/>
    <w:rsid w:val="0065261C"/>
    <w:rsid w:val="0065268C"/>
    <w:rsid w:val="00652EC5"/>
    <w:rsid w:val="00653D5B"/>
    <w:rsid w:val="00656810"/>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5D59"/>
    <w:rsid w:val="006960E2"/>
    <w:rsid w:val="00696D53"/>
    <w:rsid w:val="006974A1"/>
    <w:rsid w:val="006A1C3A"/>
    <w:rsid w:val="006A205A"/>
    <w:rsid w:val="006A345F"/>
    <w:rsid w:val="006A3D67"/>
    <w:rsid w:val="006A50E6"/>
    <w:rsid w:val="006A65D9"/>
    <w:rsid w:val="006A669D"/>
    <w:rsid w:val="006A6C74"/>
    <w:rsid w:val="006A753E"/>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368"/>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0DC2"/>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37ACD"/>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2F0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3D89"/>
    <w:rsid w:val="0079473D"/>
    <w:rsid w:val="00794D2C"/>
    <w:rsid w:val="00795EED"/>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5F6"/>
    <w:rsid w:val="007D01A9"/>
    <w:rsid w:val="007D0F8B"/>
    <w:rsid w:val="007D16FF"/>
    <w:rsid w:val="007D2012"/>
    <w:rsid w:val="007D23EB"/>
    <w:rsid w:val="007D5206"/>
    <w:rsid w:val="007D5C2A"/>
    <w:rsid w:val="007D600D"/>
    <w:rsid w:val="007E0153"/>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149"/>
    <w:rsid w:val="00840285"/>
    <w:rsid w:val="00841BDA"/>
    <w:rsid w:val="00845886"/>
    <w:rsid w:val="0084635C"/>
    <w:rsid w:val="0084702C"/>
    <w:rsid w:val="00850AC0"/>
    <w:rsid w:val="00851CAE"/>
    <w:rsid w:val="00853BA3"/>
    <w:rsid w:val="00855703"/>
    <w:rsid w:val="00856631"/>
    <w:rsid w:val="00856968"/>
    <w:rsid w:val="008572E9"/>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5FA7"/>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0E42"/>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1A56"/>
    <w:rsid w:val="00961E47"/>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6824"/>
    <w:rsid w:val="00986D3C"/>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45A3"/>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57B3"/>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32CF"/>
    <w:rsid w:val="00A051D0"/>
    <w:rsid w:val="00A052AC"/>
    <w:rsid w:val="00A06178"/>
    <w:rsid w:val="00A0658E"/>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0DD"/>
    <w:rsid w:val="00B42FA0"/>
    <w:rsid w:val="00B44C5F"/>
    <w:rsid w:val="00B46B65"/>
    <w:rsid w:val="00B46FA2"/>
    <w:rsid w:val="00B47EED"/>
    <w:rsid w:val="00B50CED"/>
    <w:rsid w:val="00B510DC"/>
    <w:rsid w:val="00B5110C"/>
    <w:rsid w:val="00B52CA7"/>
    <w:rsid w:val="00B536A6"/>
    <w:rsid w:val="00B54C18"/>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347D"/>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FBF"/>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0BBF"/>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CD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1F1C"/>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C6AB0"/>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1B60"/>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43F"/>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A49"/>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36D"/>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10ACDC"/>
  <w15:docId w15:val="{FBB48F9E-7817-4BB0-A184-EDE2F402B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C6AB0"/>
  </w:style>
  <w:style w:type="paragraph" w:styleId="Heading1">
    <w:name w:val="heading 1"/>
    <w:basedOn w:val="Normal"/>
    <w:next w:val="Normal"/>
    <w:link w:val="Heading1Char"/>
    <w:uiPriority w:val="9"/>
    <w:qFormat/>
    <w:rsid w:val="002C4923"/>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4923"/>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4923"/>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C4923"/>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C4923"/>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C492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C492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C492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C492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3F7A5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F7A5E"/>
    <w:rPr>
      <w:rFonts w:ascii="Arial" w:eastAsia="MS Mincho" w:hAnsi="Arial" w:cs="Times New Roman"/>
      <w:sz w:val="20"/>
      <w:szCs w:val="24"/>
      <w:lang w:eastAsia="en-GB"/>
    </w:rPr>
  </w:style>
  <w:style w:type="paragraph" w:styleId="ListParagraph">
    <w:name w:val="List Paragraph"/>
    <w:basedOn w:val="Normal"/>
    <w:uiPriority w:val="34"/>
    <w:qFormat/>
    <w:rsid w:val="00986D3C"/>
    <w:pPr>
      <w:ind w:left="720"/>
      <w:contextualSpacing/>
    </w:pPr>
  </w:style>
  <w:style w:type="table" w:styleId="TableGrid">
    <w:name w:val="Table Grid"/>
    <w:basedOn w:val="TableNormal"/>
    <w:uiPriority w:val="39"/>
    <w:rsid w:val="002C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C4923"/>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2C492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2C492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C492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C492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C492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C492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C492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C4923"/>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885FA7"/>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85FA7"/>
    <w:rPr>
      <w:rFonts w:ascii="Arial" w:eastAsia="MS Mincho" w:hAnsi="Arial" w:cs="Times New Roman"/>
      <w:b/>
      <w:noProof/>
      <w:sz w:val="18"/>
      <w:szCs w:val="20"/>
    </w:rPr>
  </w:style>
  <w:style w:type="paragraph" w:styleId="Footer">
    <w:name w:val="footer"/>
    <w:basedOn w:val="Header"/>
    <w:link w:val="FooterChar"/>
    <w:rsid w:val="00885FA7"/>
    <w:pPr>
      <w:jc w:val="center"/>
    </w:pPr>
    <w:rPr>
      <w:i/>
    </w:rPr>
  </w:style>
  <w:style w:type="character" w:customStyle="1" w:styleId="FooterChar">
    <w:name w:val="Footer Char"/>
    <w:basedOn w:val="DefaultParagraphFont"/>
    <w:link w:val="Footer"/>
    <w:rsid w:val="00885FA7"/>
    <w:rPr>
      <w:rFonts w:ascii="Arial" w:eastAsia="MS Mincho" w:hAnsi="Arial" w:cs="Times New Roman"/>
      <w:b/>
      <w:i/>
      <w:noProof/>
      <w:sz w:val="18"/>
      <w:szCs w:val="20"/>
    </w:rPr>
  </w:style>
  <w:style w:type="paragraph" w:customStyle="1" w:styleId="CharChar">
    <w:name w:val="Char Char"/>
    <w:semiHidden/>
    <w:rsid w:val="00885FA7"/>
    <w:pPr>
      <w:keepNext/>
      <w:numPr>
        <w:numId w:val="4"/>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eBack">
    <w:name w:val="ComeBack"/>
    <w:basedOn w:val="Doc-text2"/>
    <w:next w:val="Doc-text2"/>
    <w:link w:val="ComeBackCharChar"/>
    <w:rsid w:val="00885FA7"/>
    <w:pPr>
      <w:numPr>
        <w:numId w:val="5"/>
      </w:numPr>
      <w:tabs>
        <w:tab w:val="clear" w:pos="1622"/>
      </w:tabs>
    </w:pPr>
  </w:style>
  <w:style w:type="character" w:customStyle="1" w:styleId="ComeBackCharChar">
    <w:name w:val="ComeBack Char Char"/>
    <w:link w:val="ComeBack"/>
    <w:rsid w:val="00885FA7"/>
    <w:rPr>
      <w:rFonts w:ascii="Arial" w:eastAsia="MS Mincho" w:hAnsi="Arial" w:cs="Times New Roman"/>
      <w:sz w:val="20"/>
      <w:szCs w:val="24"/>
      <w:lang w:eastAsia="en-GB"/>
    </w:rPr>
  </w:style>
  <w:style w:type="paragraph" w:customStyle="1" w:styleId="Doc-title">
    <w:name w:val="Doc-title"/>
    <w:basedOn w:val="Normal"/>
    <w:next w:val="Doc-text2"/>
    <w:link w:val="Doc-titleChar"/>
    <w:qFormat/>
    <w:rsid w:val="002D6E79"/>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2D6E79"/>
    <w:rPr>
      <w:rFonts w:ascii="Arial" w:eastAsia="MS Mincho" w:hAnsi="Arial" w:cs="Times New Roman"/>
      <w:noProof/>
      <w:sz w:val="20"/>
      <w:szCs w:val="24"/>
      <w:lang w:eastAsia="en-GB"/>
    </w:rPr>
  </w:style>
  <w:style w:type="character" w:styleId="Hyperlink">
    <w:name w:val="Hyperlink"/>
    <w:uiPriority w:val="99"/>
    <w:rsid w:val="002D6E79"/>
    <w:rPr>
      <w:color w:val="0000FF"/>
      <w:u w:val="single"/>
    </w:rPr>
  </w:style>
  <w:style w:type="paragraph" w:customStyle="1" w:styleId="Doc-comment">
    <w:name w:val="Doc-comment"/>
    <w:basedOn w:val="Normal"/>
    <w:next w:val="Normal"/>
    <w:qFormat/>
    <w:rsid w:val="002D6E79"/>
    <w:pPr>
      <w:tabs>
        <w:tab w:val="left" w:pos="1622"/>
      </w:tabs>
      <w:spacing w:after="0" w:line="240" w:lineRule="auto"/>
      <w:ind w:left="1622" w:hanging="363"/>
    </w:pPr>
    <w:rPr>
      <w:rFonts w:ascii="Arial" w:eastAsia="MS Mincho" w:hAnsi="Arial" w:cs="Times New Roman"/>
      <w:i/>
      <w:sz w:val="20"/>
      <w:szCs w:val="24"/>
      <w:lang w:eastAsia="en-GB"/>
    </w:rPr>
  </w:style>
  <w:style w:type="paragraph" w:styleId="DocumentMap">
    <w:name w:val="Document Map"/>
    <w:basedOn w:val="Normal"/>
    <w:link w:val="DocumentMapChar"/>
    <w:uiPriority w:val="99"/>
    <w:semiHidden/>
    <w:unhideWhenUsed/>
    <w:rsid w:val="00640EF7"/>
    <w:rPr>
      <w:rFonts w:ascii="SimSun" w:eastAsia="SimSun"/>
      <w:sz w:val="18"/>
      <w:szCs w:val="18"/>
    </w:rPr>
  </w:style>
  <w:style w:type="character" w:customStyle="1" w:styleId="DocumentMapChar">
    <w:name w:val="Document Map Char"/>
    <w:basedOn w:val="DefaultParagraphFont"/>
    <w:link w:val="DocumentMap"/>
    <w:uiPriority w:val="99"/>
    <w:semiHidden/>
    <w:rsid w:val="00640EF7"/>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Data\3GPP\Extracts\R2-1706858%20Allowing%20mapping%20of%20default%20bearer%20on%20SCG%20during%20Initial%20Context%20Setup.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1CC65-C6B9-4045-A2E5-9D6C9780F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Ali, Amaanat (Nokia - FI/Espoo)</cp:lastModifiedBy>
  <cp:revision>5</cp:revision>
  <dcterms:created xsi:type="dcterms:W3CDTF">2017-06-29T08:34:00Z</dcterms:created>
  <dcterms:modified xsi:type="dcterms:W3CDTF">2017-06-29T08:50:00Z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733d39f9-33b2-406b-89ad-be173596e391</vt:lpwstr>
  </property>
  <property fmtid="{D5CDD505-2E9C-101B-9397-08002B2CF9AE}" pid="3" name="CTP_BU">
    <vt:lpwstr>NEXT GEN AND STANDARDS GROUP</vt:lpwstr>
  </property>
  <property fmtid="{D5CDD505-2E9C-101B-9397-08002B2CF9AE}" pid="4" name="CTP_TimeStamp">
    <vt:lpwstr>2017-06-29 01:26:05Z</vt:lpwstr>
  </property>
  <property fmtid="{D5CDD505-2E9C-101B-9397-08002B2CF9AE}" pid="5" name="CTPClassification">
    <vt:lpwstr>CTP_IC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1498696029</vt:lpwstr>
  </property>
</Properties>
</file>